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9AC" w:rsidRDefault="009869AC" w:rsidP="009869A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МУНИЦИПАЛЬНОГО ОБРАЗОВАНИЯ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«ЮШАРСКИЙ СЕЛЬСОВЕТ» НЕНЕЦКОГО АВТОНОМНОГО ОКРУГА</w:t>
      </w:r>
    </w:p>
    <w:p w:rsidR="009869AC" w:rsidRDefault="009869AC" w:rsidP="009869A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ПОСТАНОВЛЕНИЕ</w:t>
      </w:r>
    </w:p>
    <w:p w:rsidR="009869AC" w:rsidRDefault="009869AC" w:rsidP="009869A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От 25.06.2018 № 56-п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 xml:space="preserve">п.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Каратайка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НАО</w:t>
      </w:r>
    </w:p>
    <w:p w:rsidR="009869AC" w:rsidRDefault="009869AC" w:rsidP="009869A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О признании гражданки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С.Г.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и членов её семьи малоимущими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В связи с поступившим заявлением гражданки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Степаниды Григорьевны 01.07.1973 г.р. «О признании граждан малоимущими в целях предоставления им по договорам социального найма жилых помещений муниципального жилищного фонда» (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вх</w:t>
      </w:r>
      <w:proofErr w:type="spellEnd"/>
      <w:r>
        <w:rPr>
          <w:rFonts w:ascii="Arial" w:hAnsi="Arial" w:cs="Arial"/>
          <w:color w:val="3C3C3C"/>
          <w:sz w:val="21"/>
          <w:szCs w:val="21"/>
        </w:rPr>
        <w:t>. от 21.06.2018 года № 8), на основании Закона Ненецкого автономного округа от 02.11.2005 № 626-оз «О порядке определения размера дохода и стоимости имущества граждан в целях признания их малоимущими и предоставления им по договорам социального найма жилых помещений муниципального жилого фонда», Постановления администрации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 от 12.03.2013 № 18-п «Об утверждении Административного регламента предоставления муниципальной услуги «Прием заявлений и рассмотрение документов на право признания граждан, проживающих на территории муниципального образования, малоимущими», Администрация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 ПОСТАНОВЛЯЕТ: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1. По результатам рассмотрения заявления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Степаниды Григорьевны, 01.07.1973 г.р. – признать семью гражданки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Степаниды Григорьевны малоимущей, состав семьи из шести человек: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Сын –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Михаил Петрович, 06.06.2001 г.р.;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Сын –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Павел Петрович 14.08.2002 г.р.;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Дочь –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Влада Петровна 14.03.2004 г.р.;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Дочь –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Валентина Петровна 11.07.2005 г.р.;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Сын –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Аркадий Петрович 30.07.2008 г.р.;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Сын –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Тайборей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Денис Петрович 16.12.2010 г.р.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2. Настоящее постановление вступает в силу с момента подписания и подлежит официальному опубликованию.</w:t>
      </w:r>
    </w:p>
    <w:p w:rsidR="009869AC" w:rsidRDefault="009869AC" w:rsidP="009869AC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 Д.В.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Вылко</w:t>
      </w:r>
      <w:proofErr w:type="spellEnd"/>
    </w:p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AC"/>
    <w:rsid w:val="002D0FD0"/>
    <w:rsid w:val="00482B7D"/>
    <w:rsid w:val="0098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A62F4-91E5-4746-8453-9AC26B63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6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2023-06-07T10:54:00Z</dcterms:created>
  <dcterms:modified xsi:type="dcterms:W3CDTF">2023-06-07T10:54:00Z</dcterms:modified>
</cp:coreProperties>
</file>