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DD" w:rsidRPr="006F30DD" w:rsidRDefault="006F30DD" w:rsidP="006F30DD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</w:pPr>
      <w:r w:rsidRPr="006F30DD"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  <w:t>Об ответственности за пропаганду либо публичное демонстрирование нацистской атрибутики или символики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Федеральным законом от 25.07.2002 №114-ФЗ «О противодействии экстремистской деятельности» (далее – Закон №114-ФЗ)  установлено, что экстремистская деятельность (экстремизм) включает в себя, в том числе пропаганду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6F30DD" w:rsidRPr="006F30DD" w:rsidRDefault="006F30DD" w:rsidP="006F30D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Запрет на использование в любой форме нацистской символики, включая демонстрирование такой символики как оскорбляющей многонациональный народ и память о понесенных в Великой Отечественной войне жертвах, установлен</w:t>
      </w:r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hyperlink r:id="rId4" w:history="1">
        <w:r w:rsidRPr="006F30DD">
          <w:rPr>
            <w:rFonts w:ascii="inherit" w:eastAsia="Times New Roman" w:hAnsi="inherit" w:cs="Arial"/>
            <w:color w:val="005B7F"/>
            <w:sz w:val="16"/>
            <w:u w:val="single"/>
            <w:lang w:eastAsia="ru-RU"/>
          </w:rPr>
          <w:t>ст.6</w:t>
        </w:r>
      </w:hyperlink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Федерального закона от 19.05.1995 №80-ФЗ «Об увековечении Победы советского народа в Великой Отечественной войне 1941 - 1945 годов».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Под нацистской символикой понимается символика, которая использовалась национал-социалистической немецкой рабочей партией. К такой символике относят свастику, знамена, атрибуты униформы, приветствия и пароли.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Согласно Закону №114-ФЗ за осуществление экстремистской деятельности граждане Российской Федерации, иностранные граждане и лица без гражданства, должностные и юридические лица несут ответственность в установленном законодательством Российской Федерации порядке.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Статей 20.3 КоАП РФ установлена административная ответственность за совершение указанных действий.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Так,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влечет наложение административного штрафа на граждан в размере от 1 000 до 2 000 рублей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правонарушения; на должностных лиц – от 1 000 до 4 000 рублей с конфискацией предмета административного правонарушения; на юридических лиц – от 10 000 до 50 000 рублей с конфискацией предмета административного правонарушения.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Изготовление или сбыт в целях пропаганды либо приобретение в целях сбыта или пропаганды указанных атрибутики или символики влечет наложение административного штрафа на граждан в размере от 1 000 до 2 500 рублей с конфискацией предмета административного правонарушения; на должностных лиц – от 2 000 до 5 000 рублей с конфискацией предмета административного правонарушения; на юридических лиц – от 20 000 до 100 000 рублей с конфискацией предмета административного правонарушения.</w:t>
      </w:r>
    </w:p>
    <w:p w:rsidR="006F30DD" w:rsidRPr="006F30DD" w:rsidRDefault="006F30DD" w:rsidP="006F30DD">
      <w:pPr>
        <w:shd w:val="clear" w:color="auto" w:fill="FFFFFF"/>
        <w:spacing w:after="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Необходимо отметить, что действия, выразившиеся в демонстрировании нацистской атрибутики и символики, а также ее изготовлении и обороте, могут быть квалифицированы как административные правонарушения, предусмотренные</w:t>
      </w:r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hyperlink r:id="rId5" w:history="1">
        <w:r w:rsidRPr="006F30DD">
          <w:rPr>
            <w:rFonts w:ascii="inherit" w:eastAsia="Times New Roman" w:hAnsi="inherit" w:cs="Arial"/>
            <w:color w:val="005B7F"/>
            <w:sz w:val="16"/>
            <w:u w:val="single"/>
            <w:lang w:eastAsia="ru-RU"/>
          </w:rPr>
          <w:t>ч.1</w:t>
        </w:r>
      </w:hyperlink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</w:t>
      </w:r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hyperlink r:id="rId6" w:history="1">
        <w:r w:rsidRPr="006F30DD">
          <w:rPr>
            <w:rFonts w:ascii="inherit" w:eastAsia="Times New Roman" w:hAnsi="inherit" w:cs="Arial"/>
            <w:color w:val="005B7F"/>
            <w:sz w:val="16"/>
            <w:u w:val="single"/>
            <w:lang w:eastAsia="ru-RU"/>
          </w:rPr>
          <w:t>ч.2 ст.20.3</w:t>
        </w:r>
      </w:hyperlink>
      <w:r w:rsidRPr="006F30DD">
        <w:rPr>
          <w:rFonts w:ascii="Arial" w:eastAsia="Times New Roman" w:hAnsi="Arial" w:cs="Arial"/>
          <w:color w:val="333333"/>
          <w:sz w:val="16"/>
          <w:lang w:eastAsia="ru-RU"/>
        </w:rPr>
        <w:t> </w:t>
      </w: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КоАП РФ, лишь в случаях, если они направлены на пропаганду такой атрибутики и символики. При этом не влекут административной ответственности такие действия, если они совершены в целях, не связанных с пропагандой нацистской атрибутики и символики, включая, в частности, научные исследования, художественное творчество, подготовку других материалов, осуждающих нацизм либо излагающих исторические события.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Объективную сторону данного правонарушения могут образовать публичное выставление, показ, вывешивание, изображение нацистской атрибутики и символики, сходных с ними до степени смешения, воспроизведение нацистских или сходных с нацистскими до степени смешения приветствий и приветственных жестов, использовавшихся организациями, признанными Нюрнбергским международным трибуналом преступными, а также любые другие действия, делающие рассматриваемые атрибутику и символику доступными для восприятия других лиц, в том числе путем публикации в СМИ. При этом могут быть использованы различные знаки и предметы (повязки, значки, литеры, атрибуты униформы, музыкальные произведения и т.д.).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Дела об административных правонарушениях, предусмотренных ст.20.3, рассматривают судьи районных судов.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Протоколы о таких административных правонарушениях уполномочены составлять должностные лица органов внутренних дел (полиции).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Также законодательством Российской Федерации предусмотрена уголовная ответственность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совершенные публично (ч.3 ст.354.1 УК РФ).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Перечень дней воинской славы и памятных дат России установлен Федеральным законом от 13.03.1995 №32-ФЗ «О днях воинской славы и памятных датах России».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Так, в Российской Федерации установлены следующие дни воинской славы и памятные даты России, связанные с защитой Отечества: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5 декабря – День начала контрнаступления советских войск против немецко-фашистских войск в битве под Москвой (1941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 февраля – День разгрома советскими войсками немецко-фашистских войск в Сталинградской битве (1943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23 августа – День разгрома советскими войсками немецко-фашистских войск в Курской битве (1943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27 января – День полного освобождения Ленинграда от фашистской блокады (1944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9 мая – День Победы советского народа в Великой Отечественной войне 1941 - 1945 годов (1945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15 февраля – День памяти о россиянах, исполнявших служебный долг за пределами Отечества;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22 июня – День памяти и скорби - день начала Великой Отечественной войны (1941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29 июня – День партизан и подпольщиков;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1 августа – День памяти российских воинов, погибших в Первой мировой войне 1914 - 1918 годов;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2 сентября – День окончания Второй мировой войны (1945 год);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3 декабря – День Неизвестного Солдата;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9 декабря – День Героев Отечества.</w:t>
      </w:r>
    </w:p>
    <w:p w:rsidR="006F30DD" w:rsidRPr="006F30DD" w:rsidRDefault="006F30DD" w:rsidP="006F30DD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6F30DD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Совершение преступлений, предусмотренных ч.3 ст.354.1 УК РФ,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трехсот шестидесяти часов, либо исправительными работами на срок до одного года.</w:t>
      </w:r>
    </w:p>
    <w:p w:rsidR="007D36CC" w:rsidRDefault="007D36CC"/>
    <w:sectPr w:rsidR="007D36CC" w:rsidSect="007D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30DD"/>
    <w:rsid w:val="006F30DD"/>
    <w:rsid w:val="007D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CC"/>
  </w:style>
  <w:style w:type="paragraph" w:styleId="1">
    <w:name w:val="heading 1"/>
    <w:basedOn w:val="a"/>
    <w:link w:val="10"/>
    <w:uiPriority w:val="9"/>
    <w:qFormat/>
    <w:rsid w:val="006F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0DD"/>
  </w:style>
  <w:style w:type="character" w:styleId="a4">
    <w:name w:val="Hyperlink"/>
    <w:basedOn w:val="a0"/>
    <w:uiPriority w:val="99"/>
    <w:semiHidden/>
    <w:unhideWhenUsed/>
    <w:rsid w:val="006F3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BA5829E3EB6560714F6B5DBF9FB46530B345E5CA9E20ADC29D84140F8436179E2C1C5B023Q4g0Q" TargetMode="External"/><Relationship Id="rId5" Type="http://schemas.openxmlformats.org/officeDocument/2006/relationships/hyperlink" Target="consultantplus://offline/ref=DB5BA5829E3EB6560714F6B5DBF9FB46530B345E5CA9E20ADC29D84140F8436179E2C1C7B825Q4gFQ" TargetMode="External"/><Relationship Id="rId4" Type="http://schemas.openxmlformats.org/officeDocument/2006/relationships/hyperlink" Target="consultantplus://offline/ref=DB5BA5829E3EB6560714F6B5DBF9FB465A0B355F58A5BF00D470D44347F71C767EABCDC4B02345Q7g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5388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2015-06-02T04:46:00Z</dcterms:created>
  <dcterms:modified xsi:type="dcterms:W3CDTF">2015-06-02T04:46:00Z</dcterms:modified>
</cp:coreProperties>
</file>